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1"/>
        <w:ind w:left="5103" w:right="-1"/>
        <w:jc w:val="both"/>
        <w:widowControl/>
        <w:tabs>
          <w:tab w:val="left" w:pos="1418" w:leader="none"/>
        </w:tabs>
        <w:rPr>
          <w:sz w:val="24"/>
          <w:szCs w:val="22"/>
        </w:rPr>
        <w:outlineLvl w:val="0"/>
      </w:pPr>
      <w:r>
        <w:rPr>
          <w:sz w:val="24"/>
          <w:szCs w:val="22"/>
        </w:rPr>
        <w:t xml:space="preserve">Приложение 4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861"/>
        <w:ind w:left="5103" w:right="-1"/>
        <w:jc w:val="both"/>
        <w:widowControl/>
        <w:tabs>
          <w:tab w:val="left" w:pos="1418" w:leader="none"/>
        </w:tabs>
        <w:rPr>
          <w:sz w:val="24"/>
          <w:szCs w:val="22"/>
        </w:rPr>
        <w:outlineLvl w:val="0"/>
      </w:pPr>
      <w:r>
        <w:rPr>
          <w:sz w:val="24"/>
          <w:szCs w:val="22"/>
        </w:rPr>
        <w:t xml:space="preserve">к Закону Московской области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861"/>
        <w:ind w:left="5103" w:right="-1"/>
        <w:jc w:val="both"/>
        <w:widowControl/>
        <w:tabs>
          <w:tab w:val="left" w:pos="1418" w:leader="none"/>
        </w:tabs>
        <w:rPr>
          <w:sz w:val="24"/>
          <w:szCs w:val="22"/>
        </w:rPr>
        <w:outlineLvl w:val="0"/>
      </w:pPr>
      <w:r>
        <w:rPr>
          <w:sz w:val="24"/>
          <w:szCs w:val="22"/>
        </w:rPr>
        <w:t xml:space="preserve">«О внесении изменений в Закон Московской области «О бюджете Территориального фонда обязательного медицинского страхования Московской области на 2026 год и на плановый период 2027 и 2028 годов»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ind w:left="5103" w:right="-144" w:firstLine="6"/>
        <w:jc w:val="both"/>
        <w:widowControl/>
        <w:tabs>
          <w:tab w:val="left" w:pos="5245" w:leader="none"/>
        </w:tabs>
        <w:rPr>
          <w:sz w:val="24"/>
          <w:szCs w:val="24"/>
          <w:highlight w:val="none"/>
        </w:rPr>
        <w:outlineLvl w:val="0"/>
      </w:pPr>
      <w:r>
        <w:rPr>
          <w:sz w:val="24"/>
          <w:szCs w:val="22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5103" w:right="-144" w:firstLine="6"/>
        <w:jc w:val="both"/>
        <w:widowControl/>
        <w:tabs>
          <w:tab w:val="left" w:pos="5245" w:leader="none"/>
        </w:tabs>
        <w:rPr>
          <w:sz w:val="24"/>
          <w:szCs w:val="24"/>
          <w:highlight w:val="none"/>
        </w:rPr>
        <w:outlineLvl w:val="0"/>
      </w:pPr>
      <w:r>
        <w:rPr>
          <w:sz w:val="24"/>
          <w:szCs w:val="22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61"/>
        <w:ind w:left="5103" w:right="-144" w:firstLine="6"/>
        <w:jc w:val="both"/>
        <w:widowControl/>
        <w:tabs>
          <w:tab w:val="left" w:pos="5245" w:leader="none"/>
        </w:tabs>
        <w:rPr>
          <w:sz w:val="24"/>
          <w:szCs w:val="24"/>
          <w:highlight w:val="none"/>
        </w:rPr>
        <w:outlineLvl w:val="0"/>
      </w:pPr>
      <w:r>
        <w:rPr>
          <w:sz w:val="24"/>
          <w:szCs w:val="22"/>
        </w:rPr>
        <w:t xml:space="preserve">«Приложение </w:t>
      </w:r>
      <w:r>
        <w:rPr>
          <w:sz w:val="24"/>
          <w:szCs w:val="22"/>
        </w:rPr>
        <w:t xml:space="preserve">4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61"/>
        <w:ind w:left="5103" w:firstLine="6"/>
        <w:jc w:val="both"/>
        <w:widowControl/>
        <w:tabs>
          <w:tab w:val="left" w:pos="5245" w:leader="none"/>
        </w:tabs>
        <w:rPr>
          <w:sz w:val="24"/>
          <w:szCs w:val="22"/>
        </w:rPr>
      </w:pPr>
      <w:r>
        <w:rPr>
          <w:sz w:val="24"/>
          <w:szCs w:val="22"/>
        </w:rPr>
        <w:t xml:space="preserve">к Закону Московской области</w:t>
      </w:r>
      <w:r>
        <w:rPr>
          <w:sz w:val="24"/>
          <w:szCs w:val="22"/>
        </w:rPr>
        <w:t xml:space="preserve">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861"/>
        <w:ind w:left="5103" w:firstLine="6"/>
        <w:jc w:val="both"/>
        <w:widowControl/>
        <w:tabs>
          <w:tab w:val="left" w:pos="5245" w:leader="none"/>
        </w:tabs>
        <w:rPr>
          <w:sz w:val="24"/>
          <w:szCs w:val="22"/>
        </w:rPr>
      </w:pPr>
      <w:r>
        <w:rPr>
          <w:sz w:val="24"/>
          <w:szCs w:val="22"/>
        </w:rPr>
        <w:t xml:space="preserve">«О</w:t>
      </w:r>
      <w:r>
        <w:rPr>
          <w:sz w:val="24"/>
          <w:szCs w:val="22"/>
        </w:rPr>
        <w:t xml:space="preserve"> </w:t>
      </w:r>
      <w:r>
        <w:rPr>
          <w:sz w:val="24"/>
          <w:szCs w:val="22"/>
        </w:rPr>
        <w:t xml:space="preserve">бюджете Территориального фонда обязательного медицинского</w:t>
      </w:r>
      <w:r>
        <w:rPr>
          <w:sz w:val="24"/>
          <w:szCs w:val="22"/>
        </w:rPr>
        <w:t xml:space="preserve"> </w:t>
      </w:r>
      <w:r>
        <w:rPr>
          <w:sz w:val="24"/>
          <w:szCs w:val="22"/>
        </w:rPr>
        <w:t xml:space="preserve">страхования Московской области на</w:t>
      </w:r>
      <w:r>
        <w:rPr>
          <w:sz w:val="24"/>
          <w:szCs w:val="22"/>
        </w:rPr>
        <w:t xml:space="preserve"> </w:t>
      </w:r>
      <w:r>
        <w:rPr>
          <w:sz w:val="24"/>
          <w:szCs w:val="22"/>
        </w:rPr>
        <w:t xml:space="preserve">20</w:t>
      </w:r>
      <w:r>
        <w:rPr>
          <w:sz w:val="24"/>
          <w:szCs w:val="22"/>
        </w:rPr>
        <w:t xml:space="preserve">26</w:t>
      </w:r>
      <w:r>
        <w:rPr>
          <w:sz w:val="24"/>
          <w:szCs w:val="22"/>
        </w:rPr>
        <w:t xml:space="preserve"> год </w:t>
      </w:r>
      <w:r>
        <w:rPr>
          <w:sz w:val="24"/>
          <w:szCs w:val="22"/>
        </w:rPr>
        <w:br w:type="textWrapping" w:clear="all"/>
      </w:r>
      <w:r>
        <w:rPr>
          <w:sz w:val="24"/>
          <w:szCs w:val="22"/>
        </w:rPr>
        <w:t xml:space="preserve">и на плановый период 2027</w:t>
      </w:r>
      <w:r>
        <w:rPr>
          <w:sz w:val="24"/>
          <w:szCs w:val="22"/>
        </w:rPr>
        <w:t xml:space="preserve"> и</w:t>
      </w:r>
      <w:r>
        <w:rPr>
          <w:sz w:val="24"/>
          <w:szCs w:val="22"/>
        </w:rPr>
        <w:t xml:space="preserve"> </w:t>
      </w:r>
      <w:r>
        <w:rPr>
          <w:sz w:val="24"/>
          <w:szCs w:val="22"/>
        </w:rPr>
        <w:t xml:space="preserve">2028</w:t>
      </w:r>
      <w:r>
        <w:rPr>
          <w:sz w:val="24"/>
          <w:szCs w:val="22"/>
        </w:rPr>
        <w:t xml:space="preserve"> годов</w:t>
      </w:r>
      <w:r>
        <w:rPr>
          <w:sz w:val="24"/>
          <w:szCs w:val="22"/>
        </w:rPr>
        <w:t xml:space="preserve">»</w:t>
      </w:r>
      <w:r>
        <w:rPr>
          <w:sz w:val="24"/>
          <w:szCs w:val="22"/>
        </w:rPr>
        <w:t xml:space="preserve">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861"/>
        <w:ind w:left="4860" w:right="-257"/>
        <w:jc w:val="both"/>
        <w:widowControl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1"/>
        <w:ind w:left="4860" w:right="-257"/>
        <w:jc w:val="both"/>
        <w:widowControl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1"/>
        <w:ind w:left="1418" w:right="1418"/>
        <w:jc w:val="center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Распределение бюджетных ассигнований бюджета Территориального фонда обязательного медицинского страхования Московской области на</w:t>
      </w:r>
      <w:r>
        <w:rPr>
          <w:b/>
          <w:bCs/>
          <w:sz w:val="28"/>
          <w:szCs w:val="28"/>
        </w:rPr>
        <w:t xml:space="preserve"> </w:t>
      </w:r>
      <w:r>
        <w:rPr>
          <w:b/>
          <w:bCs/>
          <w:sz w:val="28"/>
          <w:szCs w:val="28"/>
        </w:rPr>
        <w:t xml:space="preserve">плановый период 20</w:t>
      </w:r>
      <w:r>
        <w:rPr>
          <w:b/>
          <w:bCs/>
          <w:sz w:val="28"/>
          <w:szCs w:val="28"/>
        </w:rPr>
        <w:t xml:space="preserve">27</w:t>
      </w:r>
      <w:r>
        <w:rPr>
          <w:b/>
          <w:bCs/>
          <w:sz w:val="28"/>
          <w:szCs w:val="28"/>
        </w:rPr>
        <w:t xml:space="preserve"> и 2028</w:t>
      </w:r>
      <w:r>
        <w:rPr>
          <w:b/>
          <w:bCs/>
          <w:sz w:val="28"/>
          <w:szCs w:val="28"/>
        </w:rPr>
        <w:t xml:space="preserve"> годов по разделам, подразделам, целевым статьям, группам и</w:t>
      </w:r>
      <w:r>
        <w:rPr>
          <w:b/>
          <w:bCs/>
          <w:sz w:val="28"/>
          <w:szCs w:val="28"/>
        </w:rPr>
        <w:t xml:space="preserve"> </w:t>
      </w:r>
      <w:r>
        <w:rPr>
          <w:b/>
          <w:bCs/>
          <w:sz w:val="28"/>
          <w:szCs w:val="28"/>
        </w:rPr>
        <w:t xml:space="preserve">подгруппам видов расходов классификации расходов бюджет</w:t>
      </w:r>
      <w:r>
        <w:rPr>
          <w:b/>
          <w:bCs/>
          <w:sz w:val="28"/>
          <w:szCs w:val="28"/>
        </w:rPr>
        <w:t xml:space="preserve">ов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61"/>
        <w:ind w:left="1418" w:right="1416"/>
        <w:jc w:val="both"/>
        <w:widowControl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tbl>
      <w:tblPr>
        <w:tblW w:w="9652" w:type="dxa"/>
        <w:tblInd w:w="95" w:type="dxa"/>
        <w:tblBorders>
          <w:top w:val="single" w:color="000000" w:sz="4" w:space="0"/>
          <w:left w:val="single" w:color="000000" w:sz="4" w:space="0"/>
          <w:bottom w:val="none" w:color="000000" w:sz="0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694"/>
        <w:gridCol w:w="460"/>
        <w:gridCol w:w="550"/>
        <w:gridCol w:w="1829"/>
        <w:gridCol w:w="576"/>
        <w:gridCol w:w="1634"/>
        <w:gridCol w:w="1909"/>
      </w:tblGrid>
      <w:tr>
        <w:tblPrEx/>
        <w:trPr>
          <w:trHeight w:val="255"/>
        </w:trPr>
        <w:tc>
          <w:tcPr>
            <w:tcW w:w="2694" w:type="dxa"/>
            <w:vAlign w:val="center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60" w:type="dxa"/>
            <w:vAlign w:val="center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Рз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50" w:type="dxa"/>
            <w:vAlign w:val="center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29" w:type="dxa"/>
            <w:vAlign w:val="center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ЦСР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76" w:type="dxa"/>
            <w:vAlign w:val="center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ВР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3543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Сумма (тыс.</w:t>
            </w:r>
            <w:r>
              <w:rPr>
                <w:color w:val="000000"/>
                <w:sz w:val="24"/>
                <w:szCs w:val="24"/>
              </w:rPr>
              <w:t xml:space="preserve"> </w:t>
            </w:r>
            <w:r>
              <w:rPr>
                <w:color w:val="000000"/>
                <w:sz w:val="24"/>
                <w:szCs w:val="24"/>
              </w:rPr>
              <w:t xml:space="preserve">рублей)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55"/>
        </w:trPr>
        <w:tc>
          <w:tcPr>
            <w:tcW w:w="2694" w:type="dxa"/>
            <w:vAlign w:val="center"/>
            <w:vMerge w:val="continue"/>
            <w:textDirection w:val="lrTb"/>
            <w:noWrap w:val="false"/>
          </w:tcPr>
          <w:p>
            <w:pPr>
              <w:pStyle w:val="861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60" w:type="dxa"/>
            <w:vAlign w:val="center"/>
            <w:vMerge w:val="continue"/>
            <w:textDirection w:val="lrTb"/>
            <w:noWrap w:val="false"/>
          </w:tcPr>
          <w:p>
            <w:pPr>
              <w:pStyle w:val="861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50" w:type="dxa"/>
            <w:vAlign w:val="center"/>
            <w:vMerge w:val="continue"/>
            <w:textDirection w:val="lrTb"/>
            <w:noWrap w:val="false"/>
          </w:tcPr>
          <w:p>
            <w:pPr>
              <w:pStyle w:val="861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29" w:type="dxa"/>
            <w:vAlign w:val="center"/>
            <w:vMerge w:val="continue"/>
            <w:textDirection w:val="lrTb"/>
            <w:noWrap w:val="false"/>
          </w:tcPr>
          <w:p>
            <w:pPr>
              <w:pStyle w:val="861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76" w:type="dxa"/>
            <w:vAlign w:val="center"/>
            <w:vMerge w:val="continue"/>
            <w:textDirection w:val="lrTb"/>
            <w:noWrap w:val="false"/>
          </w:tcPr>
          <w:p>
            <w:pPr>
              <w:pStyle w:val="861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634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</w:t>
            </w:r>
            <w:r>
              <w:rPr>
                <w:color w:val="000000"/>
                <w:sz w:val="24"/>
                <w:szCs w:val="24"/>
              </w:rPr>
              <w:t xml:space="preserve">27</w:t>
            </w:r>
            <w:r>
              <w:rPr>
                <w:color w:val="000000"/>
                <w:sz w:val="24"/>
                <w:szCs w:val="24"/>
              </w:rPr>
              <w:t xml:space="preserve"> год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909" w:type="dxa"/>
            <w:vAlign w:val="bottom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2028</w:t>
            </w:r>
            <w:r>
              <w:rPr>
                <w:color w:val="000000"/>
                <w:sz w:val="24"/>
                <w:szCs w:val="24"/>
              </w:rPr>
              <w:t xml:space="preserve"> год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</w:tbl>
    <w:p>
      <w:pPr>
        <w:pStyle w:val="861"/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W w:w="9652" w:type="dxa"/>
        <w:tblInd w:w="95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694"/>
        <w:gridCol w:w="460"/>
        <w:gridCol w:w="550"/>
        <w:gridCol w:w="1829"/>
        <w:gridCol w:w="576"/>
        <w:gridCol w:w="1634"/>
        <w:gridCol w:w="1909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bottom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Территориальный фонд обязательного медицинского страхования Московской области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252 759 117,7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269 126 114,6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Общегосударственные вопросы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01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1 176 762,2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1 198 900,4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общегосударственные вопросы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</w:rPr>
              <w:t xml:space="preserve">1 176 762,2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  <w:t xml:space="preserve">1 198 900,4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textDirection w:val="lrTb"/>
            <w:noWrap w:val="false"/>
          </w:tcPr>
          <w:p>
            <w:pPr>
              <w:pStyle w:val="86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Государственная программа Московской области «Здравоохранение Подмосковья»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01 0 00 00000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  <w:t xml:space="preserve">1 176 762,2</w:t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  <w:t xml:space="preserve">1 198 900,4</w:t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«Реализация Московской областной программы государственных гарантий бесплатного оказания гражданам медицинской помощи 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 xml:space="preserve">в части обязательного медицинского страхования»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</w:t>
            </w:r>
            <w:r>
              <w:rPr>
                <w:color w:val="000000"/>
                <w:sz w:val="24"/>
                <w:szCs w:val="24"/>
              </w:rPr>
              <w:t xml:space="preserve">0</w:t>
            </w:r>
            <w:r>
              <w:rPr>
                <w:color w:val="000000"/>
                <w:sz w:val="24"/>
                <w:szCs w:val="24"/>
              </w:rPr>
              <w:t xml:space="preserve"> 00000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  <w:t xml:space="preserve">1 176 762,2</w:t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  <w:t xml:space="preserve">1 198 900,4</w:t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</w:t>
            </w:r>
            <w:r>
              <w:rPr>
                <w:sz w:val="24"/>
                <w:szCs w:val="24"/>
              </w:rPr>
              <w:t xml:space="preserve">Обеспечение исполнения функций при реализации полномочий территориального органа, осуществляющего деятельность в сфере обязательного медицинского страхования</w:t>
            </w:r>
            <w:r>
              <w:rPr>
                <w:color w:val="000000"/>
                <w:sz w:val="24"/>
                <w:szCs w:val="24"/>
              </w:rPr>
              <w:t xml:space="preserve">»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01 7 02 00000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  <w:t xml:space="preserve">1 176 762,2</w:t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  <w:t xml:space="preserve">1 198 900,4</w:t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top"/>
            <w:textDirection w:val="lrTb"/>
            <w:noWrap w:val="false"/>
          </w:tcPr>
          <w:p>
            <w:pPr>
              <w:pStyle w:val="86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Дополнительное финансовое обеспечение административно-управленческой деятельности Территориального фонда обязательного медицинского страхования</w:t>
            </w:r>
            <w:r>
              <w:rPr>
                <w:sz w:val="24"/>
                <w:szCs w:val="24"/>
              </w:rPr>
              <w:t xml:space="preserve"> Московской области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textDirection w:val="lrTb"/>
            <w:noWrap w:val="false"/>
          </w:tcPr>
          <w:p>
            <w:pPr>
              <w:pStyle w:val="86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textDirection w:val="lrTb"/>
            <w:noWrap/>
          </w:tcPr>
          <w:p>
            <w:pPr>
              <w:pStyle w:val="86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01 7 02 06050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68 758,0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68 817,0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top"/>
            <w:textDirection w:val="lrTb"/>
            <w:noWrap w:val="false"/>
          </w:tcPr>
          <w:p>
            <w:pPr>
              <w:pStyle w:val="86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textDirection w:val="lrTb"/>
            <w:noWrap w:val="false"/>
          </w:tcPr>
          <w:p>
            <w:pPr>
              <w:pStyle w:val="86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textDirection w:val="lrTb"/>
            <w:noWrap/>
          </w:tcPr>
          <w:p>
            <w:pPr>
              <w:pStyle w:val="86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01 7 02 06050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46 480,1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  <w:t xml:space="preserve">46 480,1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top"/>
            <w:textDirection w:val="lrTb"/>
            <w:noWrap w:val="false"/>
          </w:tcPr>
          <w:p>
            <w:pPr>
              <w:pStyle w:val="86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на выплаты персоналу государственных внебюджетных фондов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textDirection w:val="lrTb"/>
            <w:noWrap w:val="false"/>
          </w:tcPr>
          <w:p>
            <w:pPr>
              <w:pStyle w:val="86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textDirection w:val="lrTb"/>
            <w:noWrap/>
          </w:tcPr>
          <w:p>
            <w:pPr>
              <w:pStyle w:val="86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01 7 02 06050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  <w:t xml:space="preserve">46 480,1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  <w:t xml:space="preserve">46 480,1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top"/>
            <w:textDirection w:val="lrTb"/>
            <w:noWrap w:val="false"/>
          </w:tcPr>
          <w:p>
            <w:pPr>
              <w:pStyle w:val="86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textDirection w:val="lrTb"/>
            <w:noWrap w:val="false"/>
          </w:tcPr>
          <w:p>
            <w:pPr>
              <w:pStyle w:val="86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textDirection w:val="lrTb"/>
            <w:noWrap/>
          </w:tcPr>
          <w:p>
            <w:pPr>
              <w:pStyle w:val="86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01 7 02 06050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22 274,3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22 333,3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Иные закупки товаров, работ и услуг 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 xml:space="preserve">для обеспечения государственных (муниципальных) нужд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textDirection w:val="lrTb"/>
            <w:noWrap w:val="false"/>
          </w:tcPr>
          <w:p>
            <w:pPr>
              <w:pStyle w:val="86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textDirection w:val="lrTb"/>
            <w:noWrap/>
          </w:tcPr>
          <w:p>
            <w:pPr>
              <w:pStyle w:val="86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01 7 02 06050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22 274,3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22 333,3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vMerge w:val="restart"/>
            <w:textDirection w:val="lrTb"/>
            <w:noWrap w:val="false"/>
          </w:tcPr>
          <w:p>
            <w:pPr>
              <w:widowControl/>
              <w:rPr>
                <w:color w:val="000000"/>
                <w:sz w:val="24"/>
                <w:szCs w:val="24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Иные бюджетные ассигнования</w:t>
            </w:r>
            <w:r>
              <w:rPr>
                <w:color w:val="000000"/>
                <w:sz w:val="24"/>
                <w:szCs w:val="24"/>
                <w14:ligatures w14:val="none"/>
              </w:rPr>
            </w:r>
            <w:r>
              <w:rPr>
                <w:color w:val="000000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01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13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01 7 02 06050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800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3,6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3,6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vMerge w:val="restart"/>
            <w:textDirection w:val="lrTb"/>
            <w:noWrap w:val="false"/>
          </w:tcPr>
          <w:p>
            <w:pPr>
              <w:widowControl/>
              <w:rPr>
                <w:color w:val="000000"/>
                <w:sz w:val="24"/>
                <w:szCs w:val="24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Уплата налогов, сборов и иных платежей</w:t>
            </w:r>
            <w:r>
              <w:rPr>
                <w:color w:val="000000"/>
                <w:sz w:val="24"/>
                <w:szCs w:val="24"/>
                <w14:ligatures w14:val="none"/>
              </w:rPr>
            </w:r>
            <w:r>
              <w:rPr>
                <w:color w:val="000000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01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13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01 7 02 06050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850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организации обязательного медицинского страхования 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 xml:space="preserve">на территориях субъектов Российской Федерации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1 108 004,2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1 130 083,4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top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680 926,4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  <w:t xml:space="preserve">680 926,4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государственных внебюджетных фондов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  <w:t xml:space="preserve">680 926,4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  <w:t xml:space="preserve">680 926,4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 xml:space="preserve">для обеспечения государственных (муниципальных) нужд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424 599,7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446 678,9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textDirection w:val="lrTb"/>
            <w:noWrap w:val="false"/>
          </w:tcPr>
          <w:p>
            <w:pPr>
              <w:pStyle w:val="86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Иные закупки товаров, работ и услуг 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 xml:space="preserve">для обеспечения государственных (муниципальных) нужд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424 599,7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446 678,9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textDirection w:val="lrTb"/>
            <w:noWrap w:val="false"/>
          </w:tcPr>
          <w:p>
            <w:pPr>
              <w:pStyle w:val="86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140,0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140,0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textDirection w:val="lrTb"/>
            <w:noWrap w:val="false"/>
          </w:tcPr>
          <w:p>
            <w:pPr>
              <w:pStyle w:val="86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Социальные выплаты гражданам, кроме публичных нормативных </w:t>
            </w:r>
            <w:r>
              <w:rPr>
                <w:color w:val="000000"/>
                <w:sz w:val="24"/>
                <w:szCs w:val="24"/>
              </w:rPr>
              <w:t xml:space="preserve">социальных </w:t>
            </w:r>
            <w:r>
              <w:rPr>
                <w:color w:val="000000"/>
                <w:sz w:val="24"/>
                <w:szCs w:val="24"/>
              </w:rPr>
              <w:t xml:space="preserve">выплат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140,0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140,0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Иные бюджетные ассигнования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2 338,1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2 338,1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Исполнение судебных актов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2 227,7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2 227,7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Уплата налогов, сборов и иных платежей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110,4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110,4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Образование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07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 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 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2 587,9</w:t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2 722,5</w:t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Профессиональная подготовка, переподготовка и повышение квалификации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 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 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2 587,9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2 722,5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Государственная программа Московской области </w:t>
            </w:r>
            <w:r>
              <w:rPr>
                <w:color w:val="000000"/>
                <w:sz w:val="24"/>
                <w:szCs w:val="24"/>
              </w:rPr>
              <w:t xml:space="preserve">«</w:t>
            </w:r>
            <w:r>
              <w:rPr>
                <w:color w:val="000000"/>
                <w:sz w:val="24"/>
                <w:szCs w:val="24"/>
              </w:rPr>
              <w:t xml:space="preserve">Здравоохранение Подмосковья</w:t>
            </w:r>
            <w:r>
              <w:rPr>
                <w:color w:val="000000"/>
                <w:sz w:val="24"/>
                <w:szCs w:val="24"/>
              </w:rPr>
              <w:t xml:space="preserve">»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01 0 00 00000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 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2 587,9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2 722,5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</w:t>
            </w:r>
            <w:r>
              <w:rPr>
                <w:color w:val="000000"/>
                <w:sz w:val="24"/>
                <w:szCs w:val="24"/>
              </w:rPr>
              <w:t xml:space="preserve">«</w:t>
            </w:r>
            <w:r>
              <w:rPr>
                <w:color w:val="000000"/>
                <w:sz w:val="24"/>
                <w:szCs w:val="24"/>
              </w:rPr>
              <w:t xml:space="preserve">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</w:t>
            </w:r>
            <w:r>
              <w:rPr>
                <w:color w:val="000000"/>
                <w:sz w:val="24"/>
                <w:szCs w:val="24"/>
              </w:rPr>
              <w:t xml:space="preserve">»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01 7 00 00000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 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2 587,9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2 722,5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</w:t>
            </w:r>
            <w:r>
              <w:rPr>
                <w:color w:val="000000"/>
                <w:sz w:val="24"/>
                <w:szCs w:val="24"/>
              </w:rPr>
              <w:t xml:space="preserve">«</w:t>
            </w:r>
            <w:r>
              <w:rPr>
                <w:color w:val="000000"/>
                <w:sz w:val="24"/>
                <w:szCs w:val="24"/>
              </w:rPr>
              <w:t xml:space="preserve">Обеспечение исполнения функций при реализации полномочий территориального органа, осуществляющего деятельность в сфере обязательного медицинского страхования</w:t>
            </w:r>
            <w:r>
              <w:rPr>
                <w:color w:val="000000"/>
                <w:sz w:val="24"/>
                <w:szCs w:val="24"/>
              </w:rPr>
              <w:t xml:space="preserve">»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01 7 02 00000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 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2 587,9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2 722,5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организации обязательного медицинского страхования на территориях субъектов Российской Федерации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 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2 587,9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2 722,5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2 587,9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2 722,5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нужд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2 587,9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2 722,5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Здравоохранение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09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251 579 767,6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267 924 491,7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вопросы </w:t>
            </w:r>
            <w:r>
              <w:rPr>
                <w:color w:val="000000"/>
                <w:sz w:val="24"/>
                <w:szCs w:val="24"/>
              </w:rPr>
              <w:br/>
              <w:t xml:space="preserve">в </w:t>
            </w:r>
            <w:r>
              <w:rPr>
                <w:color w:val="000000"/>
                <w:sz w:val="24"/>
                <w:szCs w:val="24"/>
              </w:rPr>
              <w:t xml:space="preserve">области здравоохранения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  <w:t xml:space="preserve">251 579 767,6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  <w:t xml:space="preserve">267 924 491,7</w:t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Государственная программа Московской области «Здравоохранение Подмосковья»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01 0 00 00000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  <w:t xml:space="preserve">251 579 767,6</w:t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  <w:t xml:space="preserve">267 924 491,7</w:t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«Реализация Московской областной программы государственных гарантий бесплатного оказания гражданам медицинской помощи 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 xml:space="preserve">в части обязательного медицинского страхования»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01 7 00 00000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  <w:t xml:space="preserve">251 579 767,6</w:t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  <w:t xml:space="preserve">267 924 491,7</w:t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«Финансовое обеспечение мероприятий Московской областной программы государственных гарантий бесплатного оказания гражданам медицинской помощи, в том числе Московской областной программы обязательного медицинского страхования»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01 7 01 00000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250 847 533,3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267 162 968,1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организации обязательного медицинского страхования 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 xml:space="preserve">на территории субъектов Российской Федерации (в рамках базовой программы обязательного медицинского страхования) за счет иных источников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01 7 01 00010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36 978,2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38 457,4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01 7 01 00010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36 978,2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38 457,4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Социальные выплаты гражданам, кроме публичных нормативных социальных выплат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01 7 01 00010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36 978,2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38 457,4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Оказание медицинской помощи застрахованным лицам по программе обязательного медицинского страхования в других субъектах Российской Федерации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01 7 01 00020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14 448 453,9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15 026 392,1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top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01 7 01 00020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14 448 453,9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15 026 392,1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Социальные выплаты гражданам, кроме публичных нормативных социальных выплат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01 7 01 00020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14 448 453,9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15 026 392,1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  <w:t xml:space="preserve">Финансовое обеспечение дополнительных видов и условий оказания медицинской помощи, предоставляемых в дополнение к установленным базовой программой обязательного медицинского страхования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01 7 01 06020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18 285 872,0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18 399 593,0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01 7 01 06020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  <w:t xml:space="preserve">18 285 872,0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  <w:t xml:space="preserve">18 399 593,0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Социальные выплаты гражданам, кроме публичных нормативных социальных выплат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01 7 01 06020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  <w:t xml:space="preserve">18 285 872,0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  <w:t xml:space="preserve">18 399 593,0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Дополнительное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01 7 01 06030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 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3 666 589,0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3 666 589,0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01 7 01 06030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3 666 589,0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3 666 589,0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Социальные выплаты гражданам, кроме публичных нормативных социальных выплат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01 7 01 06030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3 666 589,0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3 666 589,0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textDirection w:val="lrTb"/>
            <w:noWrap w:val="false"/>
          </w:tcPr>
          <w:p>
            <w:pPr>
              <w:pStyle w:val="86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медицинской помощи, оказываемой гражданам, 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 xml:space="preserve">не идентифицированным 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 xml:space="preserve">и не застрахованным 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 xml:space="preserve">по программе обязательного медицинского страхования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01 7 01 06040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2 461 656,0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2 461 656,0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01 7 01 06040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2 461 656,0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2 461 656,0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Социальные выплаты гражданам, кроме публичных нормативных социальных выплат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01 7 01 06040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2 461 656,0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2 461 656,0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организации обязательного медицинского страхования 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 xml:space="preserve">на территориях субъектов Российской Федерации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211 947 984,2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227 570 280,6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</w:rPr>
              <w:t xml:space="preserve">196 147 984,2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211 770 280,6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Социальные выплаты гражданам, кроме публичных нормативных социальных выплат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  <w:t xml:space="preserve">196 147 984,2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211 770 280,6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</w:t>
            </w:r>
            <w:r>
              <w:rPr>
                <w:color w:val="000000"/>
                <w:sz w:val="24"/>
                <w:szCs w:val="24"/>
                <w:lang w:val="en-US"/>
              </w:rPr>
            </w:r>
            <w:r>
              <w:rPr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15 800 000,0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15 800 000,0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Иные межбюджетные трансферты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15 800 000,0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15 800 000,0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дополнительного профессионального образования медицинских работников 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 xml:space="preserve">по программам повышения квалификации, а также по приобретению 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 xml:space="preserve">и проведению ремонта медицинского оборудования»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01 7 03 00000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732 234,3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761 523,6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мероприятий 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 xml:space="preserve">по организации дополнительного профессионального образования медицинских работников 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 xml:space="preserve">по программам повышения квалификации, а также по приобретению 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 xml:space="preserve">и проведению ремонта медицинского оборудования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01 7 03 06060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732 234,3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761 523,6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top"/>
            <w:textDirection w:val="lrTb"/>
            <w:noWrap w:val="false"/>
          </w:tcPr>
          <w:p>
            <w:pPr>
              <w:pStyle w:val="86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textDirection w:val="lrTb"/>
            <w:noWrap w:val="false"/>
          </w:tcPr>
          <w:p>
            <w:pPr>
              <w:pStyle w:val="86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textDirection w:val="lrTb"/>
            <w:noWrap/>
          </w:tcPr>
          <w:p>
            <w:pPr>
              <w:pStyle w:val="86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01 7 03 06060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732 234,3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761 523,6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top"/>
            <w:textDirection w:val="lrTb"/>
            <w:noWrap w:val="false"/>
          </w:tcPr>
          <w:p>
            <w:pPr>
              <w:pStyle w:val="86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Субсидии бюджетным учреждениям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top"/>
            <w:textDirection w:val="lrTb"/>
            <w:noWrap w:val="false"/>
          </w:tcPr>
          <w:p>
            <w:pPr>
              <w:pStyle w:val="86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top"/>
            <w:textDirection w:val="lrTb"/>
            <w:noWrap/>
          </w:tcPr>
          <w:p>
            <w:pPr>
              <w:pStyle w:val="86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01 7 03 06060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610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732 234,3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761 523,6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top"/>
            <w:textDirection w:val="lrTb"/>
            <w:noWrap w:val="false"/>
          </w:tcPr>
          <w:p>
            <w:pPr>
              <w:pStyle w:val="861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ВСЕГО РАСХОДОВ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0" w:type="dxa"/>
            <w:vAlign w:val="bottom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bottom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9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34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252 759 117,7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09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269 126 114,6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</w:tr>
    </w:tbl>
    <w:p>
      <w:pPr>
        <w:pStyle w:val="861"/>
        <w:ind w:right="-14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».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566" w:bottom="1418" w:left="1701" w:header="709" w:footer="709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6"/>
      <w:rPr>
        <w:rStyle w:val="867"/>
      </w:rPr>
      <w:framePr w:vAnchor="text" w:hAnchor="margin" w:xAlign="center" w:y="1"/>
    </w:pPr>
    <w:r>
      <w:rPr>
        <w:rStyle w:val="867"/>
      </w:rPr>
      <w:fldChar w:fldCharType="begin"/>
    </w:r>
    <w:r>
      <w:rPr>
        <w:rStyle w:val="867"/>
      </w:rPr>
      <w:instrText xml:space="preserve">PAGE  </w:instrText>
    </w:r>
    <w:r>
      <w:rPr>
        <w:rStyle w:val="867"/>
      </w:rPr>
      <w:fldChar w:fldCharType="separate"/>
    </w:r>
    <w:r>
      <w:rPr>
        <w:rStyle w:val="867"/>
      </w:rPr>
      <w:t xml:space="preserve">4</w:t>
    </w:r>
    <w:r>
      <w:rPr>
        <w:rStyle w:val="867"/>
      </w:rPr>
      <w:fldChar w:fldCharType="end"/>
    </w:r>
    <w:r>
      <w:rPr>
        <w:rStyle w:val="867"/>
      </w:rPr>
    </w:r>
    <w:r>
      <w:rPr>
        <w:rStyle w:val="867"/>
      </w:rPr>
    </w:r>
  </w:p>
  <w:p>
    <w:pPr>
      <w:pStyle w:val="866"/>
      <w:rPr>
        <w:rStyle w:val="867"/>
      </w:rPr>
      <w:framePr w:vAnchor="text" w:hAnchor="page" w:x="6382" w:y="1"/>
    </w:pPr>
    <w:r>
      <w:rPr>
        <w:rStyle w:val="867"/>
      </w:rPr>
    </w:r>
    <w:r>
      <w:rPr>
        <w:rStyle w:val="867"/>
      </w:rPr>
    </w:r>
    <w:r>
      <w:rPr>
        <w:rStyle w:val="867"/>
      </w:rPr>
    </w:r>
  </w:p>
  <w:p>
    <w:pPr>
      <w:pStyle w:val="866"/>
      <w:jc w:val="center"/>
      <w:rPr>
        <w:lang w:val="en-US"/>
      </w:rPr>
    </w:pPr>
    <w:r>
      <w:rPr>
        <w:lang w:val="en-US"/>
      </w:rPr>
    </w:r>
    <w:r>
      <w:rPr>
        <w:lang w:val="en-US"/>
      </w:rPr>
    </w:r>
    <w:r>
      <w:rPr>
        <w:lang w:val="en-US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3">
    <w:name w:val="Heading 1"/>
    <w:basedOn w:val="861"/>
    <w:next w:val="861"/>
    <w:link w:val="68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4">
    <w:name w:val="Heading 1 Char"/>
    <w:link w:val="683"/>
    <w:uiPriority w:val="9"/>
    <w:rPr>
      <w:rFonts w:ascii="Arial" w:hAnsi="Arial" w:eastAsia="Arial" w:cs="Arial"/>
      <w:sz w:val="40"/>
      <w:szCs w:val="40"/>
    </w:rPr>
  </w:style>
  <w:style w:type="paragraph" w:styleId="685">
    <w:name w:val="Heading 2"/>
    <w:basedOn w:val="861"/>
    <w:next w:val="861"/>
    <w:link w:val="68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6">
    <w:name w:val="Heading 2 Char"/>
    <w:link w:val="685"/>
    <w:uiPriority w:val="9"/>
    <w:rPr>
      <w:rFonts w:ascii="Arial" w:hAnsi="Arial" w:eastAsia="Arial" w:cs="Arial"/>
      <w:sz w:val="34"/>
    </w:rPr>
  </w:style>
  <w:style w:type="paragraph" w:styleId="687">
    <w:name w:val="Heading 3"/>
    <w:basedOn w:val="861"/>
    <w:next w:val="861"/>
    <w:link w:val="68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8">
    <w:name w:val="Heading 3 Char"/>
    <w:link w:val="687"/>
    <w:uiPriority w:val="9"/>
    <w:rPr>
      <w:rFonts w:ascii="Arial" w:hAnsi="Arial" w:eastAsia="Arial" w:cs="Arial"/>
      <w:sz w:val="30"/>
      <w:szCs w:val="30"/>
    </w:rPr>
  </w:style>
  <w:style w:type="paragraph" w:styleId="689">
    <w:name w:val="Heading 4"/>
    <w:basedOn w:val="861"/>
    <w:next w:val="861"/>
    <w:link w:val="69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0">
    <w:name w:val="Heading 4 Char"/>
    <w:link w:val="689"/>
    <w:uiPriority w:val="9"/>
    <w:rPr>
      <w:rFonts w:ascii="Arial" w:hAnsi="Arial" w:eastAsia="Arial" w:cs="Arial"/>
      <w:b/>
      <w:bCs/>
      <w:sz w:val="26"/>
      <w:szCs w:val="26"/>
    </w:rPr>
  </w:style>
  <w:style w:type="paragraph" w:styleId="691">
    <w:name w:val="Heading 5"/>
    <w:basedOn w:val="861"/>
    <w:next w:val="861"/>
    <w:link w:val="69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2">
    <w:name w:val="Heading 5 Char"/>
    <w:link w:val="691"/>
    <w:uiPriority w:val="9"/>
    <w:rPr>
      <w:rFonts w:ascii="Arial" w:hAnsi="Arial" w:eastAsia="Arial" w:cs="Arial"/>
      <w:b/>
      <w:bCs/>
      <w:sz w:val="24"/>
      <w:szCs w:val="24"/>
    </w:rPr>
  </w:style>
  <w:style w:type="paragraph" w:styleId="693">
    <w:name w:val="Heading 6"/>
    <w:basedOn w:val="861"/>
    <w:next w:val="861"/>
    <w:link w:val="69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4">
    <w:name w:val="Heading 6 Char"/>
    <w:link w:val="693"/>
    <w:uiPriority w:val="9"/>
    <w:rPr>
      <w:rFonts w:ascii="Arial" w:hAnsi="Arial" w:eastAsia="Arial" w:cs="Arial"/>
      <w:b/>
      <w:bCs/>
      <w:sz w:val="22"/>
      <w:szCs w:val="22"/>
    </w:rPr>
  </w:style>
  <w:style w:type="paragraph" w:styleId="695">
    <w:name w:val="Heading 7"/>
    <w:basedOn w:val="861"/>
    <w:next w:val="861"/>
    <w:link w:val="69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6">
    <w:name w:val="Heading 7 Char"/>
    <w:link w:val="69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7">
    <w:name w:val="Heading 8"/>
    <w:basedOn w:val="861"/>
    <w:next w:val="861"/>
    <w:link w:val="69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8">
    <w:name w:val="Heading 8 Char"/>
    <w:link w:val="697"/>
    <w:uiPriority w:val="9"/>
    <w:rPr>
      <w:rFonts w:ascii="Arial" w:hAnsi="Arial" w:eastAsia="Arial" w:cs="Arial"/>
      <w:i/>
      <w:iCs/>
      <w:sz w:val="22"/>
      <w:szCs w:val="22"/>
    </w:rPr>
  </w:style>
  <w:style w:type="paragraph" w:styleId="699">
    <w:name w:val="Heading 9"/>
    <w:basedOn w:val="861"/>
    <w:next w:val="861"/>
    <w:link w:val="70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0">
    <w:name w:val="Heading 9 Char"/>
    <w:link w:val="699"/>
    <w:uiPriority w:val="9"/>
    <w:rPr>
      <w:rFonts w:ascii="Arial" w:hAnsi="Arial" w:eastAsia="Arial" w:cs="Arial"/>
      <w:i/>
      <w:iCs/>
      <w:sz w:val="21"/>
      <w:szCs w:val="21"/>
    </w:rPr>
  </w:style>
  <w:style w:type="paragraph" w:styleId="701">
    <w:name w:val="List Paragraph"/>
    <w:basedOn w:val="861"/>
    <w:uiPriority w:val="34"/>
    <w:qFormat/>
    <w:pPr>
      <w:contextualSpacing/>
      <w:ind w:left="720"/>
    </w:pPr>
  </w:style>
  <w:style w:type="paragraph" w:styleId="702">
    <w:name w:val="No Spacing"/>
    <w:uiPriority w:val="1"/>
    <w:qFormat/>
    <w:pPr>
      <w:spacing w:before="0" w:after="0" w:line="240" w:lineRule="auto"/>
    </w:pPr>
  </w:style>
  <w:style w:type="paragraph" w:styleId="703">
    <w:name w:val="Title"/>
    <w:basedOn w:val="861"/>
    <w:next w:val="861"/>
    <w:link w:val="70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4">
    <w:name w:val="Title Char"/>
    <w:link w:val="703"/>
    <w:uiPriority w:val="10"/>
    <w:rPr>
      <w:sz w:val="48"/>
      <w:szCs w:val="48"/>
    </w:rPr>
  </w:style>
  <w:style w:type="paragraph" w:styleId="705">
    <w:name w:val="Subtitle"/>
    <w:basedOn w:val="861"/>
    <w:next w:val="861"/>
    <w:link w:val="706"/>
    <w:uiPriority w:val="11"/>
    <w:qFormat/>
    <w:pPr>
      <w:spacing w:before="200" w:after="200"/>
    </w:pPr>
    <w:rPr>
      <w:sz w:val="24"/>
      <w:szCs w:val="24"/>
    </w:rPr>
  </w:style>
  <w:style w:type="character" w:styleId="706">
    <w:name w:val="Subtitle Char"/>
    <w:link w:val="705"/>
    <w:uiPriority w:val="11"/>
    <w:rPr>
      <w:sz w:val="24"/>
      <w:szCs w:val="24"/>
    </w:rPr>
  </w:style>
  <w:style w:type="paragraph" w:styleId="707">
    <w:name w:val="Quote"/>
    <w:basedOn w:val="861"/>
    <w:next w:val="861"/>
    <w:link w:val="708"/>
    <w:uiPriority w:val="29"/>
    <w:qFormat/>
    <w:pPr>
      <w:ind w:left="720" w:right="720"/>
    </w:pPr>
    <w:rPr>
      <w:i/>
    </w:rPr>
  </w:style>
  <w:style w:type="character" w:styleId="708">
    <w:name w:val="Quote Char"/>
    <w:link w:val="707"/>
    <w:uiPriority w:val="29"/>
    <w:rPr>
      <w:i/>
    </w:rPr>
  </w:style>
  <w:style w:type="paragraph" w:styleId="709">
    <w:name w:val="Intense Quote"/>
    <w:basedOn w:val="861"/>
    <w:next w:val="861"/>
    <w:link w:val="71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0">
    <w:name w:val="Intense Quote Char"/>
    <w:link w:val="709"/>
    <w:uiPriority w:val="30"/>
    <w:rPr>
      <w:i/>
    </w:rPr>
  </w:style>
  <w:style w:type="paragraph" w:styleId="711">
    <w:name w:val="Header"/>
    <w:basedOn w:val="861"/>
    <w:link w:val="71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2">
    <w:name w:val="Header Char"/>
    <w:link w:val="711"/>
    <w:uiPriority w:val="99"/>
  </w:style>
  <w:style w:type="paragraph" w:styleId="713">
    <w:name w:val="Footer"/>
    <w:basedOn w:val="861"/>
    <w:link w:val="71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4">
    <w:name w:val="Footer Char"/>
    <w:link w:val="713"/>
    <w:uiPriority w:val="99"/>
  </w:style>
  <w:style w:type="paragraph" w:styleId="715">
    <w:name w:val="Caption"/>
    <w:basedOn w:val="861"/>
    <w:next w:val="861"/>
    <w:link w:val="71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6">
    <w:name w:val="Caption Char"/>
    <w:link w:val="715"/>
    <w:uiPriority w:val="35"/>
    <w:rPr>
      <w:b/>
      <w:bCs/>
      <w:color w:val="4f81bd" w:themeColor="accent1"/>
      <w:sz w:val="18"/>
      <w:szCs w:val="18"/>
    </w:rPr>
  </w:style>
  <w:style w:type="table" w:styleId="71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3">
    <w:name w:val="Hyperlink"/>
    <w:uiPriority w:val="99"/>
    <w:unhideWhenUsed/>
    <w:rPr>
      <w:color w:val="0000ff" w:themeColor="hyperlink"/>
      <w:u w:val="single"/>
    </w:rPr>
  </w:style>
  <w:style w:type="paragraph" w:styleId="844">
    <w:name w:val="footnote text"/>
    <w:basedOn w:val="861"/>
    <w:link w:val="845"/>
    <w:uiPriority w:val="99"/>
    <w:semiHidden/>
    <w:unhideWhenUsed/>
    <w:pPr>
      <w:spacing w:after="40" w:line="240" w:lineRule="auto"/>
    </w:pPr>
    <w:rPr>
      <w:sz w:val="18"/>
    </w:rPr>
  </w:style>
  <w:style w:type="character" w:styleId="845">
    <w:name w:val="Footnote Text Char"/>
    <w:link w:val="844"/>
    <w:uiPriority w:val="99"/>
    <w:rPr>
      <w:sz w:val="18"/>
    </w:rPr>
  </w:style>
  <w:style w:type="character" w:styleId="846">
    <w:name w:val="footnote reference"/>
    <w:uiPriority w:val="99"/>
    <w:unhideWhenUsed/>
    <w:rPr>
      <w:vertAlign w:val="superscript"/>
    </w:rPr>
  </w:style>
  <w:style w:type="paragraph" w:styleId="847">
    <w:name w:val="endnote text"/>
    <w:basedOn w:val="861"/>
    <w:link w:val="848"/>
    <w:uiPriority w:val="99"/>
    <w:semiHidden/>
    <w:unhideWhenUsed/>
    <w:pPr>
      <w:spacing w:after="0" w:line="240" w:lineRule="auto"/>
    </w:pPr>
    <w:rPr>
      <w:sz w:val="20"/>
    </w:rPr>
  </w:style>
  <w:style w:type="character" w:styleId="848">
    <w:name w:val="Endnote Text Char"/>
    <w:link w:val="847"/>
    <w:uiPriority w:val="99"/>
    <w:rPr>
      <w:sz w:val="20"/>
    </w:rPr>
  </w:style>
  <w:style w:type="character" w:styleId="849">
    <w:name w:val="endnote reference"/>
    <w:uiPriority w:val="99"/>
    <w:semiHidden/>
    <w:unhideWhenUsed/>
    <w:rPr>
      <w:vertAlign w:val="superscript"/>
    </w:rPr>
  </w:style>
  <w:style w:type="paragraph" w:styleId="850">
    <w:name w:val="toc 1"/>
    <w:basedOn w:val="861"/>
    <w:next w:val="861"/>
    <w:uiPriority w:val="39"/>
    <w:unhideWhenUsed/>
    <w:pPr>
      <w:ind w:left="0" w:right="0" w:firstLine="0"/>
      <w:spacing w:after="57"/>
    </w:pPr>
  </w:style>
  <w:style w:type="paragraph" w:styleId="851">
    <w:name w:val="toc 2"/>
    <w:basedOn w:val="861"/>
    <w:next w:val="861"/>
    <w:uiPriority w:val="39"/>
    <w:unhideWhenUsed/>
    <w:pPr>
      <w:ind w:left="283" w:right="0" w:firstLine="0"/>
      <w:spacing w:after="57"/>
    </w:pPr>
  </w:style>
  <w:style w:type="paragraph" w:styleId="852">
    <w:name w:val="toc 3"/>
    <w:basedOn w:val="861"/>
    <w:next w:val="861"/>
    <w:uiPriority w:val="39"/>
    <w:unhideWhenUsed/>
    <w:pPr>
      <w:ind w:left="567" w:right="0" w:firstLine="0"/>
      <w:spacing w:after="57"/>
    </w:pPr>
  </w:style>
  <w:style w:type="paragraph" w:styleId="853">
    <w:name w:val="toc 4"/>
    <w:basedOn w:val="861"/>
    <w:next w:val="861"/>
    <w:uiPriority w:val="39"/>
    <w:unhideWhenUsed/>
    <w:pPr>
      <w:ind w:left="850" w:right="0" w:firstLine="0"/>
      <w:spacing w:after="57"/>
    </w:pPr>
  </w:style>
  <w:style w:type="paragraph" w:styleId="854">
    <w:name w:val="toc 5"/>
    <w:basedOn w:val="861"/>
    <w:next w:val="861"/>
    <w:uiPriority w:val="39"/>
    <w:unhideWhenUsed/>
    <w:pPr>
      <w:ind w:left="1134" w:right="0" w:firstLine="0"/>
      <w:spacing w:after="57"/>
    </w:pPr>
  </w:style>
  <w:style w:type="paragraph" w:styleId="855">
    <w:name w:val="toc 6"/>
    <w:basedOn w:val="861"/>
    <w:next w:val="861"/>
    <w:uiPriority w:val="39"/>
    <w:unhideWhenUsed/>
    <w:pPr>
      <w:ind w:left="1417" w:right="0" w:firstLine="0"/>
      <w:spacing w:after="57"/>
    </w:pPr>
  </w:style>
  <w:style w:type="paragraph" w:styleId="856">
    <w:name w:val="toc 7"/>
    <w:basedOn w:val="861"/>
    <w:next w:val="861"/>
    <w:uiPriority w:val="39"/>
    <w:unhideWhenUsed/>
    <w:pPr>
      <w:ind w:left="1701" w:right="0" w:firstLine="0"/>
      <w:spacing w:after="57"/>
    </w:pPr>
  </w:style>
  <w:style w:type="paragraph" w:styleId="857">
    <w:name w:val="toc 8"/>
    <w:basedOn w:val="861"/>
    <w:next w:val="861"/>
    <w:uiPriority w:val="39"/>
    <w:unhideWhenUsed/>
    <w:pPr>
      <w:ind w:left="1984" w:right="0" w:firstLine="0"/>
      <w:spacing w:after="57"/>
    </w:pPr>
  </w:style>
  <w:style w:type="paragraph" w:styleId="858">
    <w:name w:val="toc 9"/>
    <w:basedOn w:val="861"/>
    <w:next w:val="861"/>
    <w:uiPriority w:val="39"/>
    <w:unhideWhenUsed/>
    <w:pPr>
      <w:ind w:left="2268" w:right="0" w:firstLine="0"/>
      <w:spacing w:after="57"/>
    </w:pPr>
  </w:style>
  <w:style w:type="paragraph" w:styleId="859">
    <w:name w:val="TOC Heading"/>
    <w:uiPriority w:val="39"/>
    <w:unhideWhenUsed/>
  </w:style>
  <w:style w:type="paragraph" w:styleId="860">
    <w:name w:val="table of figures"/>
    <w:basedOn w:val="861"/>
    <w:next w:val="861"/>
    <w:uiPriority w:val="99"/>
    <w:unhideWhenUsed/>
    <w:pPr>
      <w:spacing w:after="0" w:afterAutospacing="0"/>
    </w:pPr>
  </w:style>
  <w:style w:type="paragraph" w:styleId="861" w:default="1">
    <w:name w:val="Normal"/>
    <w:next w:val="861"/>
    <w:link w:val="861"/>
    <w:qFormat/>
    <w:pPr>
      <w:widowControl w:val="off"/>
    </w:pPr>
    <w:rPr>
      <w:lang w:val="ru-RU" w:eastAsia="ru-RU" w:bidi="ar-SA"/>
    </w:rPr>
  </w:style>
  <w:style w:type="paragraph" w:styleId="862">
    <w:name w:val="Заголовок 1"/>
    <w:basedOn w:val="861"/>
    <w:next w:val="861"/>
    <w:link w:val="870"/>
    <w:qFormat/>
    <w:pPr>
      <w:ind w:left="5580" w:right="-257"/>
      <w:jc w:val="both"/>
      <w:keepNext/>
      <w:widowControl/>
      <w:outlineLvl w:val="0"/>
    </w:pPr>
    <w:rPr>
      <w:sz w:val="24"/>
      <w:szCs w:val="24"/>
      <w:lang w:val="en-US" w:eastAsia="en-US"/>
    </w:rPr>
  </w:style>
  <w:style w:type="character" w:styleId="863">
    <w:name w:val="Основной шрифт абзаца"/>
    <w:next w:val="863"/>
    <w:link w:val="861"/>
    <w:uiPriority w:val="1"/>
    <w:semiHidden/>
    <w:unhideWhenUsed/>
  </w:style>
  <w:style w:type="table" w:styleId="864">
    <w:name w:val="Обычная таблица"/>
    <w:next w:val="864"/>
    <w:link w:val="861"/>
    <w:uiPriority w:val="99"/>
    <w:semiHidden/>
    <w:unhideWhenUsed/>
    <w:tblPr/>
  </w:style>
  <w:style w:type="numbering" w:styleId="865">
    <w:name w:val="Нет списка"/>
    <w:next w:val="865"/>
    <w:link w:val="861"/>
    <w:uiPriority w:val="99"/>
    <w:semiHidden/>
    <w:unhideWhenUsed/>
  </w:style>
  <w:style w:type="paragraph" w:styleId="866">
    <w:name w:val="Верхний колонтитул"/>
    <w:basedOn w:val="861"/>
    <w:next w:val="866"/>
    <w:link w:val="861"/>
    <w:pPr>
      <w:widowControl/>
      <w:tabs>
        <w:tab w:val="center" w:pos="4677" w:leader="none"/>
        <w:tab w:val="right" w:pos="9355" w:leader="none"/>
      </w:tabs>
    </w:pPr>
  </w:style>
  <w:style w:type="character" w:styleId="867">
    <w:name w:val="Номер страницы"/>
    <w:basedOn w:val="863"/>
    <w:next w:val="867"/>
    <w:link w:val="861"/>
  </w:style>
  <w:style w:type="paragraph" w:styleId="868">
    <w:name w:val="Текст выноски"/>
    <w:basedOn w:val="861"/>
    <w:next w:val="868"/>
    <w:link w:val="861"/>
    <w:semiHidden/>
    <w:rPr>
      <w:rFonts w:ascii="Tahoma" w:hAnsi="Tahoma" w:cs="Tahoma"/>
      <w:sz w:val="16"/>
      <w:szCs w:val="16"/>
    </w:rPr>
  </w:style>
  <w:style w:type="paragraph" w:styleId="869">
    <w:name w:val="Схема документа"/>
    <w:basedOn w:val="861"/>
    <w:next w:val="869"/>
    <w:link w:val="861"/>
    <w:semiHidden/>
    <w:pPr>
      <w:shd w:val="clear" w:color="auto" w:fill="000080"/>
    </w:pPr>
    <w:rPr>
      <w:rFonts w:ascii="Tahoma" w:hAnsi="Tahoma" w:cs="Tahoma"/>
    </w:rPr>
  </w:style>
  <w:style w:type="character" w:styleId="870">
    <w:name w:val="Заголовок 1 Знак"/>
    <w:next w:val="870"/>
    <w:link w:val="862"/>
    <w:rPr>
      <w:sz w:val="24"/>
      <w:szCs w:val="24"/>
    </w:rPr>
  </w:style>
  <w:style w:type="character" w:styleId="871" w:default="1">
    <w:name w:val="Default Paragraph Font"/>
    <w:uiPriority w:val="1"/>
    <w:semiHidden/>
    <w:unhideWhenUsed/>
  </w:style>
  <w:style w:type="numbering" w:styleId="872" w:default="1">
    <w:name w:val="No List"/>
    <w:uiPriority w:val="99"/>
    <w:semiHidden/>
    <w:unhideWhenUsed/>
  </w:style>
  <w:style w:type="table" w:styleId="87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MOFOMS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nikitina</dc:creator>
  <cp:lastModifiedBy>kazanenko_iv</cp:lastModifiedBy>
  <cp:revision>152</cp:revision>
  <dcterms:created xsi:type="dcterms:W3CDTF">2019-11-12T08:29:00Z</dcterms:created>
  <dcterms:modified xsi:type="dcterms:W3CDTF">2026-04-20T12:44:53Z</dcterms:modified>
  <cp:version>1048576</cp:version>
</cp:coreProperties>
</file>